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AE" w:rsidRPr="008012AE" w:rsidRDefault="008012AE" w:rsidP="008012AE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  <w:lang w:eastAsia="ru-RU"/>
        </w:rPr>
      </w:pPr>
      <w:r w:rsidRPr="008012AE">
        <w:rPr>
          <w:rFonts w:ascii="Arial" w:eastAsia="Times New Roman" w:hAnsi="Arial" w:cs="Arial"/>
          <w:b/>
          <w:bCs/>
          <w:color w:val="000000"/>
          <w:spacing w:val="3"/>
          <w:kern w:val="36"/>
          <w:sz w:val="30"/>
          <w:szCs w:val="30"/>
          <w:lang w:eastAsia="ru-RU"/>
        </w:rPr>
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</w:r>
    </w:p>
    <w:p w:rsidR="008012AE" w:rsidRPr="008012AE" w:rsidRDefault="008012AE" w:rsidP="008012AE">
      <w:pPr>
        <w:spacing w:after="100" w:line="240" w:lineRule="auto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8012AE">
        <w:rPr>
          <w:rFonts w:ascii="Arial" w:eastAsia="Times New Roman" w:hAnsi="Arial" w:cs="Arial"/>
          <w:color w:val="000000"/>
          <w:spacing w:val="3"/>
          <w:lang w:eastAsia="ru-RU"/>
        </w:rPr>
        <w:t>Дата подписания 29 мая 2015 г.</w:t>
      </w:r>
    </w:p>
    <w:p w:rsidR="008012AE" w:rsidRPr="008012AE" w:rsidRDefault="008012AE" w:rsidP="008012AE">
      <w:pPr>
        <w:spacing w:after="100" w:line="240" w:lineRule="auto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8012AE">
        <w:rPr>
          <w:rFonts w:ascii="Arial" w:eastAsia="Times New Roman" w:hAnsi="Arial" w:cs="Arial"/>
          <w:color w:val="000000"/>
          <w:spacing w:val="3"/>
          <w:lang w:eastAsia="ru-RU"/>
        </w:rPr>
        <w:t>Опубликован 8 июня 2015 г.</w:t>
      </w:r>
    </w:p>
    <w:p w:rsidR="008012AE" w:rsidRPr="008012AE" w:rsidRDefault="008012AE" w:rsidP="008012AE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8012AE">
        <w:rPr>
          <w:rFonts w:ascii="Arial" w:eastAsia="Times New Roman" w:hAnsi="Arial" w:cs="Arial"/>
          <w:color w:val="000000"/>
          <w:spacing w:val="3"/>
          <w:lang w:eastAsia="ru-RU"/>
        </w:rPr>
        <w:t>Вступает в силу 29 мая 2015 г.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1. Утвердить прилагаемую Стратегию развития воспитания в Российской Федерации на период до 2025 года (далее - Стратегия).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2. Минобрнауки России: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совместно с заинтересованными федеральными органами исполнительной власти обеспечить реализацию Стратегии.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Председатель Правительства Российской Федерации Д. Медведев</w:t>
      </w:r>
    </w:p>
    <w:p w:rsidR="008012AE" w:rsidRDefault="008012AE" w:rsidP="008012AE">
      <w:pPr>
        <w:pStyle w:val="4"/>
        <w:spacing w:before="0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развития воспитания в Российской Федерации на период до 2025 года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I. Общие положения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 xml:space="preserve"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</w:t>
      </w: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детей на 2012-2017 годы", в части определения ориентиров государственной политики в сфере воспитания.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lastRenderedPageBreak/>
        <w:t>II. Цель, задачи, приоритеты Стратегии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Для достижения цели Стратегии необходимо решение следующих задач: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консолидации усилий социальных институтов по воспитанию подрастающего поколения;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Приоритетами государственной политики в области воспитания являются: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воспитания здоровой, счастливой, свободной, ориентированной на труд личности;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поддержка единства и целостности, преемственности и непрерывности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поддержка общественных институтов, которые являются носителями духовных ценностей;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формирование внутренней позиции личности по отношению к окружающей социальной действительности;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III. Основные направления развития воспитания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1. Развитие социальных институтов воспитания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Поддержка семейного воспитания включает: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популяризацию лучшего опыта воспитания детей в семьях, в том числе многодетных и приемных;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возрождение значимости больших многопоколенных семей, профессиональных династий;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воспитания в системе образования предполагает: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использование чтения, в том числе семейного, для познания мира и формирования личности;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совершенствование условий для выявления и поддержки одаренных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знакомство с лучшими образцами мировой и отечественной культуры.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Расширение воспитательных возможностей информационных ресурсов предусматривает: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обеспечение условий защиты детей от информации, причиняющей вред их здоровью и психическому развитию.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Поддержка общественных объединений в сфере воспитания предполагает: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расширение государственно-частного партнерства в сфере воспитания детей.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Гражданское воспитание включает: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культуры межнационального общения;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приверженности идеям интернационализма, дружбы, равенства, взаимопомощи народов;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воспитание уважительного отношения к национальному достоинству людей, их чувствам, религиозным убеждениям;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в детской среде ответственности, принципов коллективизма и социальной солидарности;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Патриотическое воспитание и формирование российской идентичности предусматривает: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 xml:space="preserve"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</w:t>
      </w: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ним на основе знания и осмысления истории, духовных ценностей и достижений нашей страны;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поисковой и краеведческой деятельности, детского познавательного туризма.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развития у детей нравственных чувств (чести, долга, справедливости, милосердия и дружелюбия);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содействия формированию у детей позитивных жизненных ориентиров и планов;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Приобщение детей к культурному наследию предполагает: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равных для всех детей возможностей доступа к культурным ценностям;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воспитание уважения к культуре, языкам, традициям и обычаям народов, проживающих в Российской Федерации;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доступности музейной и театральной культуры для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музейной и театральной педагогики;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Популяризация научных знаний среди детей подразумевает: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Физическое воспитание и формирование культуры здоровья включает: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использование потенциала спортивной деятельности для профилактики асоциального поведения;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содействие проведению массовых общественно-спортивных мероприятий и привлечение к участию в них детей.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Трудовое воспитание и профессиональное самоопределение реализуется посредством: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воспитания у детей уважения к труду и людям труда, трудовым достижениям;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Экологическое воспитание включает: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IV. Механизмы реализации Стратегии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Правовые механизмы включают: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Организационно-управленческими механизмами являются: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консолидация усилий воспитательных институтов на муниципальном и региональном уровнях;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эффективная организация межведомственного взаимодействия в системе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укрепление сотрудничества семьи, образовательных и иных организаций в воспитании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показателей, отражающих эффективность системы воспитания в Российской Федерации;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Кадровые механизмы включают: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модернизацию содержания и организации педагогического образования в области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Научно-методические механизмы предусматривают: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личности ребенка;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Финансово-экономические механизмы включают: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Информационные механизмы предполагают: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b/>
          <w:bCs/>
          <w:color w:val="000000"/>
          <w:spacing w:val="3"/>
          <w:sz w:val="27"/>
          <w:szCs w:val="27"/>
        </w:rPr>
        <w:t>V. Ожидаемые результаты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Реализация Стратегии обеспечит: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укрепление общественного согласия, солидарности в вопросах воспитания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повышение престижа семьи, отцовства и материнства, сохранение и укрепление традиционных семейных ценностей;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атмосферы уважения к родителям и родительскому вкладу в воспитание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укрепление и развитие кадрового потенциала системы воспитания;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утверждение в детской среде позитивных моделей поведения как нормы, развитие эмпатии;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снижение уровня негативных социальных явлений;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lastRenderedPageBreak/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качества научных исследований в области воспитания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повышение уровня информационной безопасности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снижение уровня антиобщественных проявлений со стороны детей;</w:t>
      </w:r>
    </w:p>
    <w:p w:rsidR="008012AE" w:rsidRDefault="008012AE" w:rsidP="008012AE">
      <w:pPr>
        <w:pStyle w:val="a3"/>
        <w:spacing w:before="0" w:beforeAutospacing="0" w:after="335" w:afterAutospacing="0" w:line="384" w:lineRule="atLeast"/>
        <w:rPr>
          <w:rFonts w:ascii="Arial" w:hAnsi="Arial" w:cs="Arial"/>
          <w:color w:val="000000"/>
          <w:spacing w:val="3"/>
          <w:sz w:val="27"/>
          <w:szCs w:val="27"/>
        </w:rPr>
      </w:pPr>
      <w:r>
        <w:rPr>
          <w:rFonts w:ascii="Arial" w:hAnsi="Arial" w:cs="Arial"/>
          <w:color w:val="000000"/>
          <w:spacing w:val="3"/>
          <w:sz w:val="27"/>
          <w:szCs w:val="27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8D7B2E" w:rsidRDefault="008D7B2E"/>
    <w:sectPr w:rsidR="008D7B2E" w:rsidSect="008D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12AE"/>
    <w:rsid w:val="008012AE"/>
    <w:rsid w:val="008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2E"/>
  </w:style>
  <w:style w:type="paragraph" w:styleId="1">
    <w:name w:val="heading 1"/>
    <w:basedOn w:val="a"/>
    <w:link w:val="10"/>
    <w:uiPriority w:val="9"/>
    <w:qFormat/>
    <w:rsid w:val="00801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1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0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726">
          <w:marLeft w:val="0"/>
          <w:marRight w:val="0"/>
          <w:marTop w:val="419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7819">
              <w:marLeft w:val="0"/>
              <w:marRight w:val="0"/>
              <w:marTop w:val="0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2860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790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258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915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3834</Words>
  <Characters>21857</Characters>
  <Application>Microsoft Office Word</Application>
  <DocSecurity>0</DocSecurity>
  <Lines>182</Lines>
  <Paragraphs>51</Paragraphs>
  <ScaleCrop>false</ScaleCrop>
  <Company/>
  <LinksUpToDate>false</LinksUpToDate>
  <CharactersWithSpaces>25640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домм</dc:creator>
  <cp:lastModifiedBy>домм</cp:lastModifiedBy>
  <cp:revision>1</cp:revision>
  <dcterms:created xsi:type="dcterms:W3CDTF">2017-10-16T05:49:00Z</dcterms:created>
  <dcterms:modified xsi:type="dcterms:W3CDTF">2017-10-16T05:51:00Z</dcterms:modified>
</cp:coreProperties>
</file>